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3A934" w14:textId="77777777" w:rsidR="00106315" w:rsidRDefault="00106315" w:rsidP="00106315">
      <w:pPr>
        <w:rPr>
          <w:rFonts w:ascii="Arial" w:hAnsi="Arial" w:cs="Arial"/>
          <w:b/>
          <w:sz w:val="24"/>
          <w:szCs w:val="24"/>
        </w:rPr>
      </w:pPr>
      <w:r w:rsidRPr="008454C8">
        <w:rPr>
          <w:rFonts w:ascii="Arial" w:hAnsi="Arial" w:cs="Arial"/>
          <w:b/>
          <w:sz w:val="24"/>
          <w:szCs w:val="24"/>
        </w:rPr>
        <w:t>1. OBJETIVO</w:t>
      </w:r>
    </w:p>
    <w:p w14:paraId="471F1019" w14:textId="77777777" w:rsidR="00106315" w:rsidRDefault="00106315" w:rsidP="00106315">
      <w:pPr>
        <w:spacing w:line="276" w:lineRule="auto"/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Prevenir el consumo de sustancias tales como el alcohol, tabaco y sustancias psicoactivas mediante la implementación de  medidas preventivas, auto cuidado y seguridad, que permitan crear conciencia en los trabajadores de la empresa para mejorar sus condiciones de salud y  proporcionar un ambiente laboral seguro.</w:t>
      </w:r>
    </w:p>
    <w:p w14:paraId="0DB9719E" w14:textId="77777777" w:rsidR="00106315" w:rsidRDefault="00106315" w:rsidP="00106315">
      <w:pPr>
        <w:rPr>
          <w:rFonts w:ascii="Arial" w:hAnsi="Arial" w:cs="Arial"/>
          <w:b/>
          <w:sz w:val="24"/>
          <w:szCs w:val="24"/>
        </w:rPr>
      </w:pPr>
      <w:r w:rsidRPr="008454C8">
        <w:rPr>
          <w:rFonts w:ascii="Arial" w:hAnsi="Arial" w:cs="Arial"/>
          <w:b/>
          <w:sz w:val="24"/>
          <w:szCs w:val="24"/>
        </w:rPr>
        <w:t>2. ALCANCE</w:t>
      </w:r>
    </w:p>
    <w:p w14:paraId="1E486868" w14:textId="77777777" w:rsidR="00106315" w:rsidRDefault="00106315" w:rsidP="00106315">
      <w:pPr>
        <w:spacing w:line="276" w:lineRule="auto"/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Este programa va dirig</w:t>
      </w:r>
      <w:r w:rsidR="00F45DD3">
        <w:rPr>
          <w:rFonts w:ascii="Arial" w:hAnsi="Arial" w:cs="Arial"/>
          <w:sz w:val="24"/>
          <w:lang w:val="es-MX"/>
        </w:rPr>
        <w:t xml:space="preserve">ido a todos los trabajadores de AGUAS DEL HUILA S.A E.S.P., </w:t>
      </w:r>
      <w:r>
        <w:rPr>
          <w:rFonts w:ascii="Arial" w:hAnsi="Arial" w:cs="Arial"/>
          <w:sz w:val="24"/>
          <w:lang w:val="es-MX"/>
        </w:rPr>
        <w:t>el cuál desarrollará actividades de prevención,</w:t>
      </w:r>
      <w:r w:rsidRPr="00E20136">
        <w:rPr>
          <w:rFonts w:ascii="Arial" w:hAnsi="Arial" w:cs="Arial"/>
          <w:sz w:val="24"/>
          <w:lang w:val="es-MX"/>
        </w:rPr>
        <w:t xml:space="preserve"> manejo y control del uso de sustancias tales como alcohol, tabaco y </w:t>
      </w:r>
      <w:r>
        <w:rPr>
          <w:rFonts w:ascii="Arial" w:hAnsi="Arial" w:cs="Arial"/>
          <w:sz w:val="24"/>
          <w:lang w:val="es-MX"/>
        </w:rPr>
        <w:t>sustancias psicoactiva</w:t>
      </w:r>
      <w:r w:rsidRPr="00E20136">
        <w:rPr>
          <w:rFonts w:ascii="Arial" w:hAnsi="Arial" w:cs="Arial"/>
          <w:sz w:val="24"/>
          <w:lang w:val="es-MX"/>
        </w:rPr>
        <w:t>s</w:t>
      </w:r>
      <w:r>
        <w:rPr>
          <w:rFonts w:ascii="Arial" w:hAnsi="Arial" w:cs="Arial"/>
          <w:sz w:val="24"/>
          <w:lang w:val="es-MX"/>
        </w:rPr>
        <w:t>.</w:t>
      </w:r>
    </w:p>
    <w:p w14:paraId="5ADA257C" w14:textId="77777777" w:rsidR="00106315" w:rsidRDefault="00106315" w:rsidP="00106315">
      <w:pPr>
        <w:rPr>
          <w:rFonts w:ascii="Arial" w:hAnsi="Arial" w:cs="Arial"/>
          <w:b/>
          <w:sz w:val="24"/>
          <w:szCs w:val="24"/>
        </w:rPr>
      </w:pPr>
      <w:r w:rsidRPr="008454C8">
        <w:rPr>
          <w:rFonts w:ascii="Arial" w:hAnsi="Arial" w:cs="Arial"/>
          <w:b/>
          <w:sz w:val="24"/>
          <w:szCs w:val="24"/>
        </w:rPr>
        <w:t xml:space="preserve">3. RESPONSABLE </w:t>
      </w:r>
    </w:p>
    <w:p w14:paraId="7DDCFFBA" w14:textId="77777777" w:rsidR="00106315" w:rsidRPr="00DF65BE" w:rsidRDefault="00106315" w:rsidP="001063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Coordinador de programas </w:t>
      </w:r>
    </w:p>
    <w:p w14:paraId="224B822D" w14:textId="77777777" w:rsidR="00106315" w:rsidRDefault="00106315" w:rsidP="00106315">
      <w:pPr>
        <w:rPr>
          <w:rFonts w:ascii="Arial" w:hAnsi="Arial" w:cs="Arial"/>
          <w:b/>
          <w:sz w:val="24"/>
          <w:szCs w:val="24"/>
        </w:rPr>
      </w:pPr>
      <w:r w:rsidRPr="008454C8">
        <w:rPr>
          <w:rFonts w:ascii="Arial" w:hAnsi="Arial" w:cs="Arial"/>
          <w:b/>
          <w:sz w:val="24"/>
          <w:szCs w:val="24"/>
        </w:rPr>
        <w:t xml:space="preserve">4. DEFINICIONES </w:t>
      </w:r>
    </w:p>
    <w:p w14:paraId="45CDB8B6" w14:textId="77777777" w:rsidR="00106315" w:rsidRPr="00106315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/>
          <w:sz w:val="28"/>
          <w:szCs w:val="24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Alcohol: </w:t>
      </w:r>
      <w:r w:rsidRPr="00106315">
        <w:rPr>
          <w:rFonts w:ascii="Arial" w:hAnsi="Arial" w:cs="Arial"/>
          <w:sz w:val="24"/>
        </w:rPr>
        <w:t>El alcohol es un sedante/hipnótico con efectos parecidos a los de los barbitúricos. Además de los efectos sociales de su consumo, la intoxicación alcohólica puede causar envenenamiento o incluso la muerte; el consumo intenso y prolongado origina en ocasiones dependencia o un gran número de trastornos mentales, físicos y orgánicos.</w:t>
      </w:r>
      <w:r>
        <w:rPr>
          <w:rStyle w:val="Refdenotaalpie"/>
          <w:rFonts w:ascii="Arial" w:hAnsi="Arial" w:cs="Arial"/>
          <w:sz w:val="24"/>
        </w:rPr>
        <w:footnoteReference w:id="1"/>
      </w:r>
    </w:p>
    <w:p w14:paraId="0033F916" w14:textId="77777777" w:rsidR="00106315" w:rsidRPr="00106315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/>
          <w:sz w:val="24"/>
          <w:szCs w:val="24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Alcoholismo: </w:t>
      </w:r>
      <w:r w:rsidRPr="00106315">
        <w:rPr>
          <w:rFonts w:ascii="Arial" w:hAnsi="Arial" w:cs="Arial"/>
          <w:sz w:val="24"/>
        </w:rPr>
        <w:t>Término de significado variable y usado durante mucho tiempo que se emplea generalmente para referirse al consumo crónico y continuado o al consumo periódico de alcohol que se caracteriza por un deterioro del control sobre la bebida, episodios frecuentes de intoxicación y obsesión por el alcohol y su consumo a pesar de sus consecuencias adversas.</w:t>
      </w:r>
      <w:r>
        <w:rPr>
          <w:rStyle w:val="Refdenotaalpie"/>
          <w:rFonts w:ascii="Arial" w:hAnsi="Arial" w:cs="Arial"/>
          <w:sz w:val="24"/>
        </w:rPr>
        <w:footnoteReference w:id="2"/>
      </w:r>
    </w:p>
    <w:p w14:paraId="64E761BC" w14:textId="77777777" w:rsidR="00106315" w:rsidRPr="00F45DD3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sz w:val="24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Tabaco: </w:t>
      </w:r>
      <w:r w:rsidRPr="00106315">
        <w:rPr>
          <w:rFonts w:ascii="Arial" w:hAnsi="Arial" w:cs="Arial"/>
          <w:sz w:val="24"/>
        </w:rPr>
        <w:t xml:space="preserve">Preparado de las hojas de </w:t>
      </w:r>
      <w:proofErr w:type="spellStart"/>
      <w:r w:rsidRPr="00106315">
        <w:rPr>
          <w:rFonts w:ascii="Arial" w:hAnsi="Arial" w:cs="Arial"/>
          <w:sz w:val="24"/>
        </w:rPr>
        <w:t>Nicotiana</w:t>
      </w:r>
      <w:proofErr w:type="spellEnd"/>
      <w:r w:rsidRPr="00106315">
        <w:rPr>
          <w:rFonts w:ascii="Arial" w:hAnsi="Arial" w:cs="Arial"/>
          <w:sz w:val="24"/>
        </w:rPr>
        <w:t xml:space="preserve"> </w:t>
      </w:r>
      <w:proofErr w:type="spellStart"/>
      <w:r w:rsidRPr="00106315">
        <w:rPr>
          <w:rFonts w:ascii="Arial" w:hAnsi="Arial" w:cs="Arial"/>
          <w:sz w:val="24"/>
        </w:rPr>
        <w:t>tabacum</w:t>
      </w:r>
      <w:proofErr w:type="spellEnd"/>
      <w:r w:rsidRPr="00106315">
        <w:rPr>
          <w:rFonts w:ascii="Arial" w:hAnsi="Arial" w:cs="Arial"/>
          <w:sz w:val="24"/>
        </w:rPr>
        <w:t>, una planta originaria de América de la familia de las Solanáceas. Su principal ingrediente psicoactivo es la nicotina.</w:t>
      </w:r>
      <w:r>
        <w:rPr>
          <w:rStyle w:val="Refdenotaalpie"/>
          <w:rFonts w:ascii="Arial" w:hAnsi="Arial" w:cs="Arial"/>
          <w:sz w:val="24"/>
        </w:rPr>
        <w:footnoteReference w:id="3"/>
      </w:r>
    </w:p>
    <w:p w14:paraId="1B9D519A" w14:textId="32C2570D" w:rsidR="00106315" w:rsidRPr="00106315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sz w:val="24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Sustancias Psicoactivas: </w:t>
      </w:r>
      <w:r w:rsidRPr="00106315">
        <w:rPr>
          <w:rFonts w:ascii="Arial" w:hAnsi="Arial" w:cs="Arial"/>
          <w:sz w:val="24"/>
        </w:rPr>
        <w:t xml:space="preserve">sustancia psicotrópica es cualquier sustancia química que ejerce sus efectos principales o importantes en el sistema nervioso central. Algunos autores aplican el término a los medicamentos que se utilizan fundamentalmente en el tratamiento de los trastornos mentales: ansiolíticos, sedantes, antidepresivos, </w:t>
      </w:r>
      <w:r w:rsidR="000A592A" w:rsidRPr="00106315">
        <w:rPr>
          <w:rFonts w:ascii="Arial" w:hAnsi="Arial" w:cs="Arial"/>
          <w:sz w:val="24"/>
        </w:rPr>
        <w:t>anti maníacos</w:t>
      </w:r>
      <w:r w:rsidRPr="00106315">
        <w:rPr>
          <w:rFonts w:ascii="Arial" w:hAnsi="Arial" w:cs="Arial"/>
          <w:sz w:val="24"/>
        </w:rPr>
        <w:t xml:space="preserve"> y neurolépticos. Otros </w:t>
      </w:r>
      <w:r w:rsidRPr="00106315">
        <w:rPr>
          <w:rFonts w:ascii="Arial" w:hAnsi="Arial" w:cs="Arial"/>
          <w:sz w:val="24"/>
        </w:rPr>
        <w:lastRenderedPageBreak/>
        <w:t>utilizan este término para referirse a las sustancias que tienen un elevado potencial de abuso debido a sus efectos sobre el estado de ánimo, la conciencia o ambos: estimulantes, alucinógenos, opiáceos, sedantes/hipnóticos (incluido el alcohol), etc. En el contexto internacional del control de drogas, el término “sustancias psicotrópicas” hace referencia a las sustancias controladas por el Convenio de 1971 sobre Sustancias Psicotrópicas (véase convenios internacionales sobre drogas).</w:t>
      </w:r>
      <w:r>
        <w:rPr>
          <w:rStyle w:val="Refdenotaalpie"/>
          <w:rFonts w:ascii="Arial" w:hAnsi="Arial" w:cs="Arial"/>
          <w:sz w:val="24"/>
        </w:rPr>
        <w:footnoteReference w:id="4"/>
      </w:r>
    </w:p>
    <w:p w14:paraId="7D503CCF" w14:textId="77777777" w:rsidR="00106315" w:rsidRPr="00106315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lang w:eastAsia="es-CO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Autocuidado: </w:t>
      </w:r>
      <w:r w:rsidRPr="00106315">
        <w:rPr>
          <w:rFonts w:ascii="Arial" w:hAnsi="Arial" w:cs="Arial"/>
          <w:sz w:val="24"/>
          <w:lang w:eastAsia="es-CO"/>
        </w:rPr>
        <w:t>Obligación de toda persona de velar por el mejoramiento, la conservación y la recuperación de su salud personal y la salud de los miembros de su hogar, evitando acciones y omisiones perjudiciales y cumpliendo las instrucciones técnicas y las normas obligatorias que dicten las autoridades competentes</w:t>
      </w:r>
      <w:r w:rsidRPr="00106315">
        <w:rPr>
          <w:rFonts w:ascii="Arial" w:hAnsi="Arial" w:cs="Arial"/>
          <w:lang w:eastAsia="es-CO"/>
        </w:rPr>
        <w:t xml:space="preserve">. </w:t>
      </w:r>
      <w:r>
        <w:rPr>
          <w:rStyle w:val="Refdenotaalpie"/>
          <w:rFonts w:ascii="Arial" w:hAnsi="Arial" w:cs="Arial"/>
          <w:lang w:eastAsia="es-CO"/>
        </w:rPr>
        <w:footnoteReference w:id="5"/>
      </w:r>
      <w:r w:rsidRPr="00106315">
        <w:rPr>
          <w:rFonts w:ascii="Arial" w:hAnsi="Arial" w:cs="Arial"/>
          <w:lang w:eastAsia="es-CO"/>
        </w:rPr>
        <w:t xml:space="preserve"> </w:t>
      </w:r>
    </w:p>
    <w:p w14:paraId="0A39D66D" w14:textId="77777777" w:rsidR="00106315" w:rsidRPr="00106315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/>
          <w:sz w:val="24"/>
          <w:szCs w:val="24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Consumo de alcohol: </w:t>
      </w:r>
      <w:r w:rsidRPr="00106315">
        <w:rPr>
          <w:rFonts w:ascii="Arial" w:hAnsi="Arial" w:cs="Arial"/>
          <w:sz w:val="24"/>
          <w:szCs w:val="24"/>
          <w:lang w:eastAsia="es-CO"/>
        </w:rPr>
        <w:t>Término genérico que hace referencia a fumar cigarrillos, puros, tabacos, pipa, o cualquier otro producto derivado del tabaco.</w:t>
      </w:r>
    </w:p>
    <w:p w14:paraId="67E3C593" w14:textId="77777777" w:rsidR="00106315" w:rsidRPr="00106315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b/>
          <w:sz w:val="24"/>
          <w:szCs w:val="24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Consumo de tabaco: </w:t>
      </w:r>
      <w:r w:rsidRPr="00106315">
        <w:rPr>
          <w:rFonts w:ascii="Arial" w:hAnsi="Arial" w:cs="Arial"/>
          <w:sz w:val="24"/>
          <w:szCs w:val="24"/>
          <w:lang w:eastAsia="es-CO"/>
        </w:rPr>
        <w:t>Ingesta de bebidas alcohólicas.</w:t>
      </w:r>
    </w:p>
    <w:p w14:paraId="281F782A" w14:textId="77777777" w:rsidR="00106315" w:rsidRPr="00106315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106315">
        <w:rPr>
          <w:rFonts w:ascii="Arial" w:hAnsi="Arial" w:cs="Arial"/>
          <w:b/>
          <w:sz w:val="24"/>
          <w:szCs w:val="24"/>
        </w:rPr>
        <w:t xml:space="preserve">Droga: </w:t>
      </w:r>
      <w:r w:rsidRPr="00106315">
        <w:rPr>
          <w:rFonts w:ascii="Arial" w:hAnsi="Arial" w:cs="Arial"/>
          <w:sz w:val="24"/>
          <w:szCs w:val="24"/>
        </w:rPr>
        <w:t>Sustancias psicoactivas, con acción reforzante positiva, capaces de generar dependencia física, psíquica, o ambas, y que ocasionan en muchos casos, grave deterioro psicoorgánico y de conducta social.</w:t>
      </w:r>
      <w:r>
        <w:rPr>
          <w:rStyle w:val="Refdenotaalpie"/>
          <w:rFonts w:ascii="Arial" w:hAnsi="Arial" w:cs="Arial"/>
          <w:sz w:val="24"/>
          <w:szCs w:val="24"/>
        </w:rPr>
        <w:footnoteReference w:id="6"/>
      </w:r>
    </w:p>
    <w:p w14:paraId="5A519BFA" w14:textId="77777777" w:rsidR="00106315" w:rsidRPr="00F45DD3" w:rsidRDefault="00106315" w:rsidP="0010631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sz w:val="28"/>
          <w:szCs w:val="24"/>
        </w:rPr>
      </w:pPr>
      <w:r w:rsidRPr="00106315">
        <w:rPr>
          <w:rFonts w:ascii="Arial" w:hAnsi="Arial" w:cs="Arial"/>
          <w:b/>
          <w:sz w:val="24"/>
          <w:lang w:eastAsia="es-CO"/>
        </w:rPr>
        <w:t xml:space="preserve">Embriaguez: </w:t>
      </w:r>
      <w:r w:rsidRPr="00106315">
        <w:rPr>
          <w:rFonts w:ascii="Arial" w:hAnsi="Arial" w:cs="Arial"/>
          <w:sz w:val="24"/>
          <w:lang w:eastAsia="es-CO"/>
        </w:rPr>
        <w:t>Conjunto de cambios psicológicos y comportamentales de carácter transitorio, así como en órganos y sistemas, inducidos en el individuo por el consumo de algunas sustancias farmacológicamente activas, las cuales afectan su capacidad y habilidad para la realización adecuada de actividades de riesgo.</w:t>
      </w:r>
      <w:r>
        <w:rPr>
          <w:rStyle w:val="Refdenotaalpie"/>
          <w:rFonts w:ascii="Arial" w:hAnsi="Arial" w:cs="Arial"/>
          <w:sz w:val="24"/>
          <w:lang w:eastAsia="es-CO"/>
        </w:rPr>
        <w:footnoteReference w:id="7"/>
      </w:r>
    </w:p>
    <w:p w14:paraId="07D9B2EB" w14:textId="77777777" w:rsidR="00106315" w:rsidRPr="008454C8" w:rsidRDefault="00106315" w:rsidP="00106315">
      <w:pPr>
        <w:rPr>
          <w:rFonts w:ascii="Arial" w:hAnsi="Arial" w:cs="Arial"/>
          <w:b/>
          <w:sz w:val="24"/>
          <w:szCs w:val="24"/>
        </w:rPr>
      </w:pPr>
      <w:r w:rsidRPr="008454C8">
        <w:rPr>
          <w:rFonts w:ascii="Arial" w:hAnsi="Arial" w:cs="Arial"/>
          <w:b/>
          <w:sz w:val="24"/>
          <w:szCs w:val="24"/>
        </w:rPr>
        <w:t>5. CONDICIONES GENERALES</w:t>
      </w:r>
    </w:p>
    <w:p w14:paraId="45B1A6D4" w14:textId="77777777" w:rsidR="00106315" w:rsidRDefault="00106315" w:rsidP="001063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5.1</w:t>
      </w:r>
      <w:r w:rsidRPr="008454C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MARCO LEGAL</w:t>
      </w:r>
    </w:p>
    <w:p w14:paraId="4B59FB77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Cs/>
          <w:sz w:val="24"/>
        </w:rPr>
      </w:pPr>
      <w:r w:rsidRPr="00106315">
        <w:rPr>
          <w:rFonts w:ascii="Arial" w:hAnsi="Arial" w:cs="Arial"/>
          <w:b/>
          <w:lang w:eastAsia="es-CO"/>
        </w:rPr>
        <w:t>LEY 9 DE 1979:</w:t>
      </w:r>
      <w:r w:rsidRPr="00106315">
        <w:rPr>
          <w:rFonts w:ascii="Arial" w:hAnsi="Arial" w:cs="Arial"/>
          <w:lang w:eastAsia="es-CO"/>
        </w:rPr>
        <w:t xml:space="preserve"> </w:t>
      </w:r>
      <w:r w:rsidRPr="00106315">
        <w:rPr>
          <w:rFonts w:ascii="Arial" w:hAnsi="Arial" w:cs="Arial"/>
          <w:sz w:val="24"/>
        </w:rPr>
        <w:t>Código sanitario nacional</w:t>
      </w:r>
      <w:r w:rsidRPr="00106315">
        <w:rPr>
          <w:rFonts w:ascii="Arial" w:hAnsi="Arial" w:cs="Arial"/>
          <w:bCs/>
          <w:sz w:val="24"/>
        </w:rPr>
        <w:t>, Art. 84 – 85 – 125 – 470 – 477 – 594 – 595 – 597 - 599, Deberes y derechos del empleador y del trabajador.</w:t>
      </w:r>
    </w:p>
    <w:p w14:paraId="5610E603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Cs/>
          <w:sz w:val="24"/>
        </w:rPr>
      </w:pPr>
      <w:r w:rsidRPr="00106315">
        <w:rPr>
          <w:rFonts w:ascii="Arial" w:hAnsi="Arial" w:cs="Arial"/>
          <w:b/>
          <w:bCs/>
          <w:sz w:val="24"/>
        </w:rPr>
        <w:t xml:space="preserve">CÓDIGO SUSTANTIVO DEL TRABAJO: </w:t>
      </w:r>
      <w:r w:rsidRPr="00106315">
        <w:rPr>
          <w:rFonts w:ascii="Arial" w:hAnsi="Arial" w:cs="Arial"/>
          <w:bCs/>
          <w:sz w:val="24"/>
        </w:rPr>
        <w:t>Prohibición de sustancias psicoactivas en el trabajo.</w:t>
      </w:r>
    </w:p>
    <w:p w14:paraId="6154DC80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Cs/>
          <w:sz w:val="24"/>
        </w:rPr>
      </w:pPr>
      <w:r w:rsidRPr="00106315">
        <w:rPr>
          <w:rFonts w:ascii="Arial" w:hAnsi="Arial" w:cs="Arial"/>
          <w:b/>
          <w:bCs/>
          <w:sz w:val="24"/>
        </w:rPr>
        <w:t xml:space="preserve">RESOLUCIÓN 2400 DE 1979: </w:t>
      </w:r>
      <w:r w:rsidRPr="00106315">
        <w:rPr>
          <w:rFonts w:ascii="Arial" w:hAnsi="Arial" w:cs="Arial"/>
          <w:bCs/>
          <w:sz w:val="24"/>
        </w:rPr>
        <w:t>Art. 3, Obligación de los trabajadores.</w:t>
      </w:r>
    </w:p>
    <w:p w14:paraId="0F9C0B6C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Cs/>
          <w:sz w:val="24"/>
        </w:rPr>
      </w:pPr>
      <w:r w:rsidRPr="00106315">
        <w:rPr>
          <w:rFonts w:ascii="Arial" w:hAnsi="Arial" w:cs="Arial"/>
          <w:b/>
          <w:bCs/>
          <w:sz w:val="24"/>
        </w:rPr>
        <w:lastRenderedPageBreak/>
        <w:t xml:space="preserve">RESOLUCIÓN 1075 DE 1992: </w:t>
      </w:r>
      <w:r w:rsidRPr="00106315">
        <w:rPr>
          <w:rFonts w:ascii="Arial" w:hAnsi="Arial" w:cs="Arial"/>
          <w:bCs/>
          <w:sz w:val="24"/>
        </w:rPr>
        <w:t>Los empleadores públicos y privados deben desarrollar actividades, dirigidas a sus trabajadores, de prevención y control de la farmacodependencia, alcoholismo y tabaquismo dentro del subprograma de medicina preventiva establecido por la resolución 1016 de 1989.</w:t>
      </w:r>
    </w:p>
    <w:p w14:paraId="706ED771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Cs/>
          <w:sz w:val="24"/>
        </w:rPr>
      </w:pPr>
      <w:r w:rsidRPr="00106315">
        <w:rPr>
          <w:rFonts w:ascii="Arial" w:hAnsi="Arial" w:cs="Arial"/>
          <w:b/>
          <w:bCs/>
          <w:sz w:val="24"/>
        </w:rPr>
        <w:t xml:space="preserve">LEY 10 DE 1990: </w:t>
      </w:r>
      <w:r w:rsidRPr="00106315">
        <w:rPr>
          <w:rFonts w:ascii="Arial" w:hAnsi="Arial" w:cs="Arial"/>
          <w:bCs/>
          <w:sz w:val="24"/>
        </w:rPr>
        <w:t>Responsabiliza a los departamentos para el desarrollo de las acciones orientadas al fomento de la salud.</w:t>
      </w:r>
    </w:p>
    <w:p w14:paraId="674C0681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106315">
        <w:rPr>
          <w:rFonts w:ascii="Arial" w:hAnsi="Arial" w:cs="Arial"/>
          <w:b/>
          <w:bCs/>
          <w:sz w:val="24"/>
        </w:rPr>
        <w:t xml:space="preserve">DECRETO 1108 DE 1994: </w:t>
      </w:r>
      <w:r w:rsidRPr="00106315">
        <w:rPr>
          <w:rFonts w:ascii="Arial" w:hAnsi="Arial" w:cs="Arial"/>
          <w:bCs/>
          <w:sz w:val="24"/>
        </w:rPr>
        <w:t xml:space="preserve">Por el cual se sistematizan, coordinan y reglamentan algunas disposiciones en relación con el porte y consumo de estupefacientes y </w:t>
      </w:r>
      <w:r w:rsidRPr="00106315">
        <w:rPr>
          <w:rFonts w:ascii="Arial" w:hAnsi="Arial" w:cs="Arial"/>
          <w:bCs/>
          <w:sz w:val="24"/>
          <w:szCs w:val="24"/>
        </w:rPr>
        <w:t>sustancias psicotrópicas.</w:t>
      </w:r>
    </w:p>
    <w:p w14:paraId="6AA277D3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06315">
        <w:rPr>
          <w:rFonts w:ascii="Arial" w:hAnsi="Arial" w:cs="Arial"/>
          <w:b/>
          <w:bCs/>
          <w:sz w:val="24"/>
          <w:szCs w:val="24"/>
        </w:rPr>
        <w:t xml:space="preserve">RESOLUCIÓN 3258 DE 1998: </w:t>
      </w:r>
      <w:r w:rsidRPr="00106315">
        <w:rPr>
          <w:rFonts w:ascii="Arial" w:hAnsi="Arial" w:cs="Arial"/>
          <w:bCs/>
          <w:sz w:val="24"/>
          <w:szCs w:val="24"/>
        </w:rPr>
        <w:t>Mediante la cual se adopta la Política Nacional de Salud Mental y la estrategia de disminución del riesgo del consumo de sustancias psicoactivas.</w:t>
      </w:r>
    </w:p>
    <w:p w14:paraId="75DBC83E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106315">
        <w:rPr>
          <w:rFonts w:ascii="Arial" w:hAnsi="Arial" w:cs="Arial"/>
          <w:b/>
          <w:bCs/>
          <w:sz w:val="24"/>
          <w:szCs w:val="24"/>
        </w:rPr>
        <w:t xml:space="preserve">DECRETO 120 DE 2010: </w:t>
      </w:r>
      <w:r w:rsidRPr="00106315">
        <w:rPr>
          <w:rFonts w:ascii="Arial" w:hAnsi="Arial" w:cs="Arial"/>
          <w:bCs/>
          <w:sz w:val="24"/>
          <w:szCs w:val="24"/>
        </w:rPr>
        <w:t>Por el cual se adoptan medidas en relación con el consumo de alcohol.</w:t>
      </w:r>
    </w:p>
    <w:p w14:paraId="0B9DF6A0" w14:textId="77777777" w:rsidR="00106315" w:rsidRPr="00106315" w:rsidRDefault="00106315" w:rsidP="00106315">
      <w:pPr>
        <w:pStyle w:val="Prrafodelista"/>
        <w:numPr>
          <w:ilvl w:val="0"/>
          <w:numId w:val="48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06315">
        <w:rPr>
          <w:rFonts w:ascii="Arial" w:hAnsi="Arial" w:cs="Arial"/>
          <w:b/>
          <w:bCs/>
          <w:sz w:val="24"/>
          <w:szCs w:val="24"/>
        </w:rPr>
        <w:t xml:space="preserve">RESOLUCIÓN 7036 DE 2001: </w:t>
      </w:r>
      <w:r w:rsidRPr="00106315">
        <w:rPr>
          <w:rFonts w:ascii="Arial" w:hAnsi="Arial" w:cs="Arial"/>
          <w:bCs/>
          <w:sz w:val="24"/>
          <w:szCs w:val="24"/>
        </w:rPr>
        <w:t>Por la cual se adoptan decisiones en relación con el consumo del cigarrillo. Prohíbase el consumo de cigarrillo, tabaco y sus derivados en todas las dependencias del Ministerio de Salud y entidades adscritas, con el objeto de proteger la salud de los trabajadores y usuarios de los servicios de salud.</w:t>
      </w:r>
    </w:p>
    <w:p w14:paraId="460B1498" w14:textId="77777777" w:rsidR="00106315" w:rsidRDefault="00106315" w:rsidP="00106315">
      <w:pPr>
        <w:rPr>
          <w:rFonts w:ascii="Arial" w:hAnsi="Arial" w:cs="Arial"/>
          <w:b/>
          <w:sz w:val="24"/>
          <w:szCs w:val="24"/>
        </w:rPr>
      </w:pPr>
      <w:r w:rsidRPr="008454C8">
        <w:rPr>
          <w:rFonts w:ascii="Arial" w:hAnsi="Arial" w:cs="Arial"/>
          <w:b/>
          <w:sz w:val="24"/>
          <w:szCs w:val="24"/>
        </w:rPr>
        <w:t xml:space="preserve">6. </w:t>
      </w:r>
      <w:r>
        <w:rPr>
          <w:rFonts w:ascii="Arial" w:hAnsi="Arial" w:cs="Arial"/>
          <w:b/>
          <w:sz w:val="24"/>
          <w:szCs w:val="24"/>
        </w:rPr>
        <w:t xml:space="preserve">ACTIVIDADES DE </w:t>
      </w:r>
      <w:r w:rsidRPr="008454C8">
        <w:rPr>
          <w:rFonts w:ascii="Arial" w:hAnsi="Arial" w:cs="Arial"/>
          <w:b/>
          <w:sz w:val="24"/>
          <w:szCs w:val="24"/>
        </w:rPr>
        <w:t xml:space="preserve">PREVENCIÓN </w:t>
      </w:r>
    </w:p>
    <w:p w14:paraId="3221D519" w14:textId="77777777" w:rsidR="00106315" w:rsidRPr="007F0D85" w:rsidRDefault="00106315" w:rsidP="00106315">
      <w:pPr>
        <w:jc w:val="both"/>
        <w:rPr>
          <w:rFonts w:ascii="Arial" w:hAnsi="Arial" w:cs="Arial"/>
          <w:sz w:val="24"/>
          <w:szCs w:val="24"/>
        </w:rPr>
      </w:pPr>
      <w:r w:rsidRPr="007F0D85">
        <w:rPr>
          <w:rFonts w:ascii="Arial" w:hAnsi="Arial" w:cs="Arial"/>
          <w:sz w:val="24"/>
          <w:szCs w:val="24"/>
        </w:rPr>
        <w:t xml:space="preserve">Partiendo del diseño e implementación de la política, que se fundamenta en la realización de 7 pasos con secuencia lógica, dirigida a regular, prevenir y abordar los problemas de consumo de alcohol y drogas en el trabajo, se establecen las acciones a seguir en tres tipos de intervenciones preventivas, según el nivel de consumo de los trabajadores que se asocia con la metáfora del semáforo:  </w:t>
      </w:r>
    </w:p>
    <w:p w14:paraId="56F8FDAB" w14:textId="77777777" w:rsidR="00106315" w:rsidRPr="00F45DD3" w:rsidRDefault="00106315" w:rsidP="00F45DD3">
      <w:pPr>
        <w:pStyle w:val="Prrafodelista"/>
        <w:numPr>
          <w:ilvl w:val="0"/>
          <w:numId w:val="49"/>
        </w:numPr>
        <w:jc w:val="both"/>
        <w:rPr>
          <w:rFonts w:ascii="Arial" w:hAnsi="Arial" w:cs="Arial"/>
          <w:sz w:val="24"/>
          <w:szCs w:val="24"/>
        </w:rPr>
      </w:pPr>
      <w:r w:rsidRPr="00F45DD3">
        <w:rPr>
          <w:rFonts w:ascii="Arial" w:hAnsi="Arial" w:cs="Arial"/>
          <w:sz w:val="24"/>
          <w:szCs w:val="24"/>
        </w:rPr>
        <w:t>Primera área, de color verde, que reúne el conjunto de trabajadores sin consumo de drogas.  Esta área representa la mayoría de los trabajadores, donde se realiza prevención primaria.</w:t>
      </w:r>
    </w:p>
    <w:p w14:paraId="0CA8B1B5" w14:textId="0FF61A12" w:rsidR="00106315" w:rsidRPr="007F0D85" w:rsidRDefault="00106315" w:rsidP="001D329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148D9D44" wp14:editId="17D700F6">
            <wp:extent cx="1285875" cy="1313782"/>
            <wp:effectExtent l="0" t="0" r="0" b="1270"/>
            <wp:docPr id="3" name="Imagen 3" descr="Resultado de imagen para punto de encuen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punto de encuent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74" cy="13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05CD1" w14:textId="1B6FC9A5" w:rsidR="00106315" w:rsidRPr="001D329C" w:rsidRDefault="00106315" w:rsidP="00106315">
      <w:pPr>
        <w:pStyle w:val="Prrafodelista"/>
        <w:numPr>
          <w:ilvl w:val="0"/>
          <w:numId w:val="49"/>
        </w:numPr>
        <w:jc w:val="both"/>
        <w:rPr>
          <w:rFonts w:ascii="Arial" w:hAnsi="Arial" w:cs="Arial"/>
          <w:sz w:val="24"/>
          <w:szCs w:val="24"/>
        </w:rPr>
      </w:pPr>
      <w:r w:rsidRPr="00F45DD3">
        <w:rPr>
          <w:rFonts w:ascii="Arial" w:hAnsi="Arial" w:cs="Arial"/>
          <w:sz w:val="24"/>
          <w:szCs w:val="24"/>
        </w:rPr>
        <w:t>Una segunda área intermedia, de color amarillo, que ubica a los trabajadores que presentan problemas de consumo de drogas, pero que aún pueden ser revertidos a través de la motivación, hacia la adopción de conductas saludables. Ellos requieren prevención secundaria.</w:t>
      </w:r>
    </w:p>
    <w:p w14:paraId="66DCB803" w14:textId="2A97787D" w:rsidR="00106315" w:rsidRPr="007F0D85" w:rsidRDefault="00106315" w:rsidP="001D329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s-ES_tradnl" w:eastAsia="es-ES_tradnl"/>
        </w:rPr>
        <w:drawing>
          <wp:inline distT="0" distB="0" distL="0" distR="0" wp14:anchorId="2E4CAD3E" wp14:editId="4E9EEF20">
            <wp:extent cx="1276350" cy="12287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7810" r="77427" b="40833"/>
                    <a:stretch/>
                  </pic:blipFill>
                  <pic:spPr bwMode="auto">
                    <a:xfrm>
                      <a:off x="0" y="0"/>
                      <a:ext cx="1289412" cy="124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C47EC" w14:textId="77777777" w:rsidR="00106315" w:rsidRPr="00F45DD3" w:rsidRDefault="00106315" w:rsidP="00F45DD3">
      <w:pPr>
        <w:pStyle w:val="Prrafodelista"/>
        <w:numPr>
          <w:ilvl w:val="0"/>
          <w:numId w:val="49"/>
        </w:numPr>
        <w:jc w:val="both"/>
        <w:rPr>
          <w:rFonts w:ascii="Arial" w:hAnsi="Arial" w:cs="Arial"/>
          <w:sz w:val="24"/>
          <w:szCs w:val="24"/>
        </w:rPr>
      </w:pPr>
      <w:r w:rsidRPr="00F45DD3">
        <w:rPr>
          <w:rFonts w:ascii="Arial" w:hAnsi="Arial" w:cs="Arial"/>
          <w:sz w:val="24"/>
          <w:szCs w:val="24"/>
        </w:rPr>
        <w:t>Por último, un área roja que representa a una minoría de trabajadores que ya es dependiente del consumo de drogas y que requiere un tratamiento especializado o prevención terciaria.</w:t>
      </w:r>
    </w:p>
    <w:p w14:paraId="6CAFF3BC" w14:textId="77777777" w:rsidR="00106315" w:rsidRPr="007F0D85" w:rsidRDefault="00106315" w:rsidP="00106315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s-ES_tradnl" w:eastAsia="es-ES_tradnl"/>
        </w:rPr>
        <w:drawing>
          <wp:inline distT="0" distB="0" distL="0" distR="0" wp14:anchorId="42488307" wp14:editId="72D78CAA">
            <wp:extent cx="1032876" cy="10572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18" t="18716" r="77427" b="42040"/>
                    <a:stretch/>
                  </pic:blipFill>
                  <pic:spPr bwMode="auto">
                    <a:xfrm>
                      <a:off x="0" y="0"/>
                      <a:ext cx="1034420" cy="105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266CAF" w14:textId="46A40EC9" w:rsidR="00106315" w:rsidRDefault="00106315" w:rsidP="00106315">
      <w:pPr>
        <w:jc w:val="both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Se sugiere efectuar esta actividad en </w:t>
      </w:r>
      <w:r w:rsidR="001D329C">
        <w:rPr>
          <w:rFonts w:ascii="Arial" w:hAnsi="Arial" w:cs="Arial"/>
          <w:b/>
          <w:sz w:val="24"/>
          <w:lang w:val="es-MX"/>
        </w:rPr>
        <w:t>Aguas del Huila S.A E.S.P.</w:t>
      </w:r>
      <w:r>
        <w:rPr>
          <w:rFonts w:ascii="Arial" w:hAnsi="Arial" w:cs="Arial"/>
          <w:b/>
          <w:sz w:val="24"/>
          <w:lang w:val="es-MX"/>
        </w:rPr>
        <w:t>, por su bajo costo de implementación y lo efectiva que resultaría entre los trabajadores.</w:t>
      </w:r>
    </w:p>
    <w:p w14:paraId="1E2432F1" w14:textId="77777777" w:rsidR="00106315" w:rsidRPr="00106315" w:rsidRDefault="00106315" w:rsidP="00106315">
      <w:pPr>
        <w:jc w:val="both"/>
        <w:rPr>
          <w:rFonts w:ascii="Arial" w:hAnsi="Arial" w:cs="Arial"/>
          <w:b/>
          <w:sz w:val="24"/>
          <w:lang w:val="es-MX"/>
        </w:rPr>
      </w:pPr>
    </w:p>
    <w:p w14:paraId="6DC31852" w14:textId="77777777" w:rsidR="00106315" w:rsidRPr="00106315" w:rsidRDefault="00106315" w:rsidP="00106315">
      <w:pPr>
        <w:jc w:val="both"/>
        <w:rPr>
          <w:rFonts w:ascii="Arial" w:hAnsi="Arial" w:cs="Arial"/>
          <w:b/>
          <w:sz w:val="24"/>
          <w:lang w:val="es-MX"/>
        </w:rPr>
      </w:pPr>
      <w:r w:rsidRPr="00106315">
        <w:rPr>
          <w:rFonts w:ascii="Arial" w:hAnsi="Arial" w:cs="Arial"/>
          <w:b/>
          <w:sz w:val="24"/>
          <w:lang w:val="es-MX"/>
        </w:rPr>
        <w:t xml:space="preserve">7. REGISTROS </w:t>
      </w:r>
    </w:p>
    <w:p w14:paraId="7088FAA5" w14:textId="77777777" w:rsidR="00106315" w:rsidRPr="00106315" w:rsidRDefault="00106315" w:rsidP="00106315">
      <w:pPr>
        <w:jc w:val="both"/>
        <w:rPr>
          <w:rFonts w:ascii="Arial" w:hAnsi="Arial" w:cs="Arial"/>
          <w:sz w:val="24"/>
          <w:lang w:val="es-MX"/>
        </w:rPr>
      </w:pPr>
      <w:r w:rsidRPr="00106315">
        <w:rPr>
          <w:rFonts w:ascii="Arial" w:hAnsi="Arial" w:cs="Arial"/>
          <w:sz w:val="24"/>
          <w:lang w:val="es-MX"/>
        </w:rPr>
        <w:t>N/A</w:t>
      </w:r>
    </w:p>
    <w:p w14:paraId="136FF9F8" w14:textId="77777777" w:rsidR="00DB7DC2" w:rsidRDefault="00DB7DC2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0218D">
        <w:rPr>
          <w:rFonts w:ascii="Arial" w:hAnsi="Arial" w:cs="Arial"/>
          <w:b/>
          <w:sz w:val="24"/>
          <w:szCs w:val="24"/>
        </w:rPr>
        <w:t>8. CONTROL DE CAMBIOS</w:t>
      </w: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FA5FFC" w:rsidRPr="002B7F72" w14:paraId="0B4DEE1C" w14:textId="77777777" w:rsidTr="002803DC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384D430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9CCFCD8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80CC848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D6C3585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FA5FFC" w:rsidRPr="002B7F72" w14:paraId="6C5255AE" w14:textId="77777777" w:rsidTr="002803DC">
        <w:trPr>
          <w:trHeight w:val="4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63E4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lastRenderedPageBreak/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F2C0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902F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2C38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A5FFC" w:rsidRPr="002B7F72" w14:paraId="510EA863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DF49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BCBB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F0CF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E262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A5FFC" w:rsidRPr="002B7F72" w14:paraId="1A1B8072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AF30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9A61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6231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BB4F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A5FFC" w:rsidRPr="002B7F72" w14:paraId="6E1D8996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587A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099A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2527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F23A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A5FFC" w:rsidRPr="002B7F72" w14:paraId="164E005B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3CB2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6696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4DF3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4BBA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A5FFC" w:rsidRPr="002B7F72" w14:paraId="40B37E09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581C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F4B9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5325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88B0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A5FFC" w:rsidRPr="002B7F72" w14:paraId="442E3403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FEA7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2F46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6BC4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2827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A5FFC" w:rsidRPr="002B7F72" w14:paraId="3E283857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3ABF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7B31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DD6B" w14:textId="77777777" w:rsidR="00FA5FFC" w:rsidRPr="002B7F72" w:rsidRDefault="00FA5FFC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2AD0" w14:textId="77777777" w:rsidR="00FA5FFC" w:rsidRPr="002B7F72" w:rsidRDefault="00FA5FFC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72F74E8E" w14:textId="77777777" w:rsidR="00D46BA3" w:rsidRPr="0010218D" w:rsidRDefault="00D46BA3" w:rsidP="0010218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10218D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8521" w14:textId="77777777" w:rsidR="00996C54" w:rsidRDefault="00996C54" w:rsidP="00DB7DC2">
      <w:pPr>
        <w:spacing w:after="0" w:line="240" w:lineRule="auto"/>
      </w:pPr>
      <w:r>
        <w:separator/>
      </w:r>
    </w:p>
  </w:endnote>
  <w:endnote w:type="continuationSeparator" w:id="0">
    <w:p w14:paraId="7C2A71C2" w14:textId="77777777" w:rsidR="00996C54" w:rsidRDefault="00996C54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46B1" w14:textId="77777777" w:rsidR="00AB32DC" w:rsidRPr="00AB32DC" w:rsidRDefault="00AB32DC" w:rsidP="00AB32DC">
    <w:pPr>
      <w:pStyle w:val="Piedepgina"/>
      <w:jc w:val="center"/>
      <w:rPr>
        <w:rFonts w:ascii="Arial" w:hAnsi="Arial" w:cs="Arial"/>
        <w:sz w:val="18"/>
        <w:szCs w:val="18"/>
      </w:rPr>
    </w:pPr>
    <w:r w:rsidRPr="00AB32DC">
      <w:rPr>
        <w:rFonts w:ascii="Arial" w:hAnsi="Arial" w:cs="Arial"/>
        <w:sz w:val="18"/>
        <w:szCs w:val="18"/>
      </w:rPr>
      <w:t>Calle 21 No. 1C -17</w:t>
    </w:r>
  </w:p>
  <w:p w14:paraId="55D49AE3" w14:textId="77777777" w:rsidR="00AB32DC" w:rsidRPr="00AB32DC" w:rsidRDefault="00AB32DC" w:rsidP="00AB32DC">
    <w:pPr>
      <w:pStyle w:val="Piedepgina"/>
      <w:jc w:val="center"/>
      <w:rPr>
        <w:rFonts w:ascii="Arial" w:hAnsi="Arial" w:cs="Arial"/>
        <w:sz w:val="18"/>
        <w:szCs w:val="18"/>
      </w:rPr>
    </w:pPr>
    <w:r w:rsidRPr="00AB32DC">
      <w:rPr>
        <w:rFonts w:ascii="Arial" w:hAnsi="Arial" w:cs="Arial"/>
        <w:sz w:val="18"/>
        <w:szCs w:val="18"/>
      </w:rPr>
      <w:t>Teléfonos 8 75 31 81 – 8 75 23 21  fax: Ext. 124</w:t>
    </w:r>
  </w:p>
  <w:p w14:paraId="5846E535" w14:textId="77777777" w:rsidR="00AB32DC" w:rsidRPr="00AB32DC" w:rsidRDefault="00AB32DC" w:rsidP="00AB32DC">
    <w:pPr>
      <w:pStyle w:val="Piedepgina"/>
      <w:jc w:val="center"/>
      <w:rPr>
        <w:rFonts w:ascii="Arial" w:hAnsi="Arial" w:cs="Arial"/>
        <w:sz w:val="18"/>
        <w:szCs w:val="18"/>
      </w:rPr>
    </w:pPr>
    <w:hyperlink r:id="rId1" w:history="1">
      <w:r w:rsidRPr="00AB32DC">
        <w:rPr>
          <w:rStyle w:val="Hipervnculo"/>
          <w:rFonts w:ascii="Arial" w:hAnsi="Arial" w:cs="Arial"/>
          <w:sz w:val="18"/>
          <w:szCs w:val="18"/>
        </w:rPr>
        <w:t>www.aguasdelhuila.gov.co</w:t>
      </w:r>
    </w:hyperlink>
  </w:p>
  <w:p w14:paraId="32D40DED" w14:textId="77777777" w:rsidR="00AB32DC" w:rsidRPr="00AB32DC" w:rsidRDefault="00AB32DC" w:rsidP="00AB32DC">
    <w:pPr>
      <w:pStyle w:val="Piedepgina"/>
      <w:jc w:val="center"/>
      <w:rPr>
        <w:rFonts w:ascii="Arial" w:hAnsi="Arial" w:cs="Arial"/>
        <w:sz w:val="18"/>
        <w:szCs w:val="18"/>
      </w:rPr>
    </w:pPr>
    <w:r w:rsidRPr="00AB32DC">
      <w:rPr>
        <w:rFonts w:ascii="Arial" w:hAnsi="Arial" w:cs="Arial"/>
        <w:sz w:val="18"/>
        <w:szCs w:val="18"/>
      </w:rPr>
      <w:t>Neiva – Huila (Colombia).</w:t>
    </w:r>
  </w:p>
  <w:p w14:paraId="0C27179D" w14:textId="77777777" w:rsidR="00AB32DC" w:rsidRPr="00AB32DC" w:rsidRDefault="00AB32DC" w:rsidP="00AB32DC">
    <w:pPr>
      <w:pStyle w:val="Piedepgina"/>
      <w:jc w:val="right"/>
      <w:rPr>
        <w:rFonts w:ascii="Arial" w:hAnsi="Arial" w:cs="Arial"/>
        <w:sz w:val="18"/>
        <w:szCs w:val="18"/>
      </w:rPr>
    </w:pPr>
    <w:r w:rsidRPr="00AB32DC">
      <w:rPr>
        <w:rFonts w:ascii="Arial" w:hAnsi="Arial" w:cs="Arial"/>
        <w:sz w:val="18"/>
        <w:szCs w:val="18"/>
        <w:lang w:val="es-ES"/>
      </w:rPr>
      <w:t xml:space="preserve">Página </w:t>
    </w:r>
    <w:r w:rsidRPr="00AB32DC">
      <w:rPr>
        <w:rFonts w:ascii="Arial" w:hAnsi="Arial" w:cs="Arial"/>
        <w:sz w:val="18"/>
        <w:szCs w:val="18"/>
      </w:rPr>
      <w:fldChar w:fldCharType="begin"/>
    </w:r>
    <w:r w:rsidRPr="00AB32DC">
      <w:rPr>
        <w:rFonts w:ascii="Arial" w:hAnsi="Arial" w:cs="Arial"/>
        <w:sz w:val="18"/>
        <w:szCs w:val="18"/>
      </w:rPr>
      <w:instrText>PAGE   \* MERGEFORMAT</w:instrText>
    </w:r>
    <w:r w:rsidRPr="00AB32DC">
      <w:rPr>
        <w:rFonts w:ascii="Arial" w:hAnsi="Arial" w:cs="Arial"/>
        <w:sz w:val="18"/>
        <w:szCs w:val="18"/>
      </w:rPr>
      <w:fldChar w:fldCharType="separate"/>
    </w:r>
    <w:r w:rsidRPr="00AB32DC">
      <w:rPr>
        <w:rFonts w:ascii="Arial" w:hAnsi="Arial" w:cs="Arial"/>
        <w:sz w:val="18"/>
        <w:szCs w:val="18"/>
      </w:rPr>
      <w:t>1</w:t>
    </w:r>
    <w:r w:rsidRPr="00AB32DC">
      <w:rPr>
        <w:rFonts w:ascii="Arial" w:hAnsi="Arial" w:cs="Arial"/>
        <w:sz w:val="18"/>
        <w:szCs w:val="18"/>
      </w:rPr>
      <w:fldChar w:fldCharType="end"/>
    </w:r>
    <w:r w:rsidRPr="00AB32DC">
      <w:rPr>
        <w:rFonts w:ascii="Arial" w:hAnsi="Arial" w:cs="Arial"/>
        <w:sz w:val="18"/>
        <w:szCs w:val="18"/>
        <w:lang w:val="es-ES"/>
      </w:rPr>
      <w:t xml:space="preserve"> | </w:t>
    </w:r>
    <w:r w:rsidRPr="00AB32DC">
      <w:rPr>
        <w:rFonts w:ascii="Arial" w:hAnsi="Arial" w:cs="Arial"/>
        <w:sz w:val="18"/>
        <w:szCs w:val="18"/>
      </w:rPr>
      <w:fldChar w:fldCharType="begin"/>
    </w:r>
    <w:r w:rsidRPr="00AB32DC">
      <w:rPr>
        <w:rFonts w:ascii="Arial" w:hAnsi="Arial" w:cs="Arial"/>
        <w:sz w:val="18"/>
        <w:szCs w:val="18"/>
      </w:rPr>
      <w:instrText>NUMPAGES  \* Arabic  \* MERGEFORMAT</w:instrText>
    </w:r>
    <w:r w:rsidRPr="00AB32DC">
      <w:rPr>
        <w:rFonts w:ascii="Arial" w:hAnsi="Arial" w:cs="Arial"/>
        <w:sz w:val="18"/>
        <w:szCs w:val="18"/>
      </w:rPr>
      <w:fldChar w:fldCharType="separate"/>
    </w:r>
    <w:r w:rsidRPr="00AB32DC">
      <w:rPr>
        <w:rFonts w:ascii="Arial" w:hAnsi="Arial" w:cs="Arial"/>
        <w:sz w:val="18"/>
        <w:szCs w:val="18"/>
      </w:rPr>
      <w:t>6</w:t>
    </w:r>
    <w:r w:rsidRPr="00AB32D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902C" w14:textId="77777777" w:rsidR="00996C54" w:rsidRDefault="00996C54" w:rsidP="00DB7DC2">
      <w:pPr>
        <w:spacing w:after="0" w:line="240" w:lineRule="auto"/>
      </w:pPr>
      <w:r>
        <w:separator/>
      </w:r>
    </w:p>
  </w:footnote>
  <w:footnote w:type="continuationSeparator" w:id="0">
    <w:p w14:paraId="3639C532" w14:textId="77777777" w:rsidR="00996C54" w:rsidRDefault="00996C54" w:rsidP="00DB7DC2">
      <w:pPr>
        <w:spacing w:after="0" w:line="240" w:lineRule="auto"/>
      </w:pPr>
      <w:r>
        <w:continuationSeparator/>
      </w:r>
    </w:p>
  </w:footnote>
  <w:footnote w:id="1">
    <w:p w14:paraId="26BA3C84" w14:textId="77777777" w:rsidR="00106315" w:rsidRDefault="00106315" w:rsidP="00106315">
      <w:pPr>
        <w:pStyle w:val="Textonotapie"/>
      </w:pPr>
      <w:r>
        <w:rPr>
          <w:rStyle w:val="Refdenotaalpie"/>
        </w:rPr>
        <w:footnoteRef/>
      </w:r>
      <w:r>
        <w:rPr>
          <w:rStyle w:val="Refdenotaalpie"/>
        </w:rPr>
        <w:t>-2-3</w:t>
      </w:r>
      <w:r>
        <w:t xml:space="preserve"> Glosario de términos de alcohol y drogas – World Health </w:t>
      </w:r>
      <w:proofErr w:type="spellStart"/>
      <w:r>
        <w:t>Organization</w:t>
      </w:r>
      <w:proofErr w:type="spellEnd"/>
    </w:p>
  </w:footnote>
  <w:footnote w:id="2">
    <w:p w14:paraId="51B06387" w14:textId="77777777" w:rsidR="00106315" w:rsidRDefault="00106315" w:rsidP="00106315">
      <w:pPr>
        <w:pStyle w:val="Textonotapie"/>
      </w:pPr>
    </w:p>
  </w:footnote>
  <w:footnote w:id="3">
    <w:p w14:paraId="76E70822" w14:textId="77777777" w:rsidR="00106315" w:rsidRDefault="00106315" w:rsidP="00106315">
      <w:pPr>
        <w:pStyle w:val="Textonotapie"/>
      </w:pPr>
    </w:p>
  </w:footnote>
  <w:footnote w:id="4">
    <w:p w14:paraId="182FF53E" w14:textId="77777777" w:rsidR="00106315" w:rsidRDefault="00106315" w:rsidP="00106315">
      <w:pPr>
        <w:pStyle w:val="Textonotapie"/>
      </w:pPr>
      <w:r>
        <w:rPr>
          <w:rStyle w:val="Refdenotaalpie"/>
        </w:rPr>
        <w:footnoteRef/>
      </w:r>
      <w:r>
        <w:rPr>
          <w:rStyle w:val="Refdenotaalpie"/>
        </w:rPr>
        <w:t>-6</w:t>
      </w:r>
      <w:r>
        <w:t xml:space="preserve"> Glosario de términos de alcohol y drogas – World Health </w:t>
      </w:r>
      <w:proofErr w:type="spellStart"/>
      <w:r>
        <w:t>Organization</w:t>
      </w:r>
      <w:proofErr w:type="spellEnd"/>
    </w:p>
  </w:footnote>
  <w:footnote w:id="5">
    <w:p w14:paraId="02E00CCA" w14:textId="77777777" w:rsidR="00106315" w:rsidRPr="008F0721" w:rsidRDefault="00106315" w:rsidP="0010631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Style w:val="Refdenotaalpie"/>
        </w:rPr>
        <w:footnoteRef/>
      </w:r>
      <w:r>
        <w:t xml:space="preserve"> </w:t>
      </w:r>
      <w:proofErr w:type="spellStart"/>
      <w:r>
        <w:rPr>
          <w:sz w:val="20"/>
        </w:rPr>
        <w:t>Ibid</w:t>
      </w:r>
      <w:proofErr w:type="spellEnd"/>
    </w:p>
  </w:footnote>
  <w:footnote w:id="6">
    <w:p w14:paraId="68575CE0" w14:textId="77777777" w:rsidR="00106315" w:rsidRDefault="00106315" w:rsidP="00106315">
      <w:pPr>
        <w:pStyle w:val="Textonotapie"/>
      </w:pPr>
    </w:p>
  </w:footnote>
  <w:footnote w:id="7">
    <w:p w14:paraId="7A92DFC1" w14:textId="77777777" w:rsidR="00106315" w:rsidRDefault="00106315" w:rsidP="0010631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94FA3">
        <w:t>Decreto 120 de 2010. Presidencia de la República de Colombia.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844"/>
      <w:gridCol w:w="7938"/>
    </w:tblGrid>
    <w:tr w:rsidR="00FA5FFC" w14:paraId="315EEC4A" w14:textId="77777777" w:rsidTr="00FA5FFC">
      <w:trPr>
        <w:trHeight w:val="698"/>
      </w:trPr>
      <w:tc>
        <w:tcPr>
          <w:tcW w:w="1844" w:type="dxa"/>
          <w:vMerge w:val="restart"/>
          <w:vAlign w:val="center"/>
        </w:tcPr>
        <w:p w14:paraId="18B4A01D" w14:textId="5D5068E9" w:rsidR="00FA5FFC" w:rsidRPr="00DB7DC2" w:rsidRDefault="00FA5FFC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70D59912" wp14:editId="4D5E2CFE">
                <wp:extent cx="866775" cy="824608"/>
                <wp:effectExtent l="0" t="0" r="0" b="0"/>
                <wp:docPr id="11192842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5614A778" w14:textId="77777777" w:rsidR="00FA5FFC" w:rsidRPr="00FA5FFC" w:rsidRDefault="00FA5FFC" w:rsidP="00FA5FFC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eastAsia="ar-SA"/>
            </w:rPr>
          </w:pPr>
          <w:r w:rsidRPr="00FA5FFC">
            <w:rPr>
              <w:rFonts w:ascii="Arial Rounded MT Bold" w:hAnsi="Arial Rounded MT Bold"/>
              <w:lang w:eastAsia="ar-SA"/>
            </w:rPr>
            <w:t>AGUAS DEL HUILA S.A. E.S.P.</w:t>
          </w:r>
        </w:p>
        <w:p w14:paraId="57173BD3" w14:textId="540A2859" w:rsidR="00FA5FFC" w:rsidRPr="00FA5FFC" w:rsidRDefault="00FA5FFC" w:rsidP="00FA5FFC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FA5FFC">
            <w:rPr>
              <w:rFonts w:ascii="Arial Rounded MT Bold" w:hAnsi="Arial Rounded MT Bold"/>
              <w:lang w:eastAsia="ar-SA"/>
            </w:rPr>
            <w:t>NIT.  800.100.553-2</w:t>
          </w:r>
        </w:p>
      </w:tc>
    </w:tr>
    <w:tr w:rsidR="00FA5FFC" w14:paraId="3541C2AD" w14:textId="77777777" w:rsidTr="00FA5FFC">
      <w:trPr>
        <w:trHeight w:val="70"/>
      </w:trPr>
      <w:tc>
        <w:tcPr>
          <w:tcW w:w="1844" w:type="dxa"/>
          <w:vMerge/>
          <w:vAlign w:val="center"/>
        </w:tcPr>
        <w:p w14:paraId="7E6D25F0" w14:textId="77777777" w:rsidR="00FA5FFC" w:rsidRDefault="00FA5FFC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7938" w:type="dxa"/>
          <w:vAlign w:val="center"/>
        </w:tcPr>
        <w:p w14:paraId="2D08396E" w14:textId="77777777" w:rsidR="00FA5FFC" w:rsidRPr="00FA5FFC" w:rsidRDefault="00FA5FFC" w:rsidP="00FA5FFC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FA5FFC">
            <w:rPr>
              <w:rFonts w:ascii="Arial Rounded MT Bold" w:hAnsi="Arial Rounded MT Bold" w:cs="Arial"/>
            </w:rPr>
            <w:t>PROGRAMA DE PREVENCIÓN DE CONSUMO DE ALCOHOL, TABACO Y SUSTANCIAS PSICOACTIVAS.</w:t>
          </w:r>
        </w:p>
        <w:p w14:paraId="3C5573A1" w14:textId="2DA2B55E" w:rsidR="00FA5FFC" w:rsidRPr="00FA5FFC" w:rsidRDefault="00FA5FFC" w:rsidP="00FA5FFC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FA5FFC">
            <w:rPr>
              <w:rFonts w:ascii="Arial Rounded MT Bold" w:hAnsi="Arial Rounded MT Bold" w:cs="Arial"/>
            </w:rPr>
            <w:t>Versión 8.0</w:t>
          </w:r>
        </w:p>
      </w:tc>
    </w:tr>
  </w:tbl>
  <w:p w14:paraId="219BAD2C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724"/>
    <w:multiLevelType w:val="hybridMultilevel"/>
    <w:tmpl w:val="D87C85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96A1C"/>
    <w:multiLevelType w:val="hybridMultilevel"/>
    <w:tmpl w:val="0E60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D0EE7"/>
    <w:multiLevelType w:val="hybridMultilevel"/>
    <w:tmpl w:val="E910CE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C0A9E"/>
    <w:multiLevelType w:val="hybridMultilevel"/>
    <w:tmpl w:val="E2F6A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72D4A"/>
    <w:multiLevelType w:val="hybridMultilevel"/>
    <w:tmpl w:val="3D46275A"/>
    <w:lvl w:ilvl="0" w:tplc="080E7BC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E6ACA"/>
    <w:multiLevelType w:val="hybridMultilevel"/>
    <w:tmpl w:val="11589C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F6D45"/>
    <w:multiLevelType w:val="hybridMultilevel"/>
    <w:tmpl w:val="1E923B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A7DE9"/>
    <w:multiLevelType w:val="hybridMultilevel"/>
    <w:tmpl w:val="70109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17B45"/>
    <w:multiLevelType w:val="hybridMultilevel"/>
    <w:tmpl w:val="C76C1A2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33167"/>
    <w:multiLevelType w:val="hybridMultilevel"/>
    <w:tmpl w:val="7662154A"/>
    <w:lvl w:ilvl="0" w:tplc="24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3A0949"/>
    <w:multiLevelType w:val="hybridMultilevel"/>
    <w:tmpl w:val="D0C0EC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2" w15:restartNumberingAfterBreak="0">
    <w:nsid w:val="251A22DB"/>
    <w:multiLevelType w:val="hybridMultilevel"/>
    <w:tmpl w:val="662CFD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37321"/>
    <w:multiLevelType w:val="hybridMultilevel"/>
    <w:tmpl w:val="F0AA6A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70E22"/>
    <w:multiLevelType w:val="hybridMultilevel"/>
    <w:tmpl w:val="B38232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3F51CC"/>
    <w:multiLevelType w:val="hybridMultilevel"/>
    <w:tmpl w:val="270C6F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F22924"/>
    <w:multiLevelType w:val="hybridMultilevel"/>
    <w:tmpl w:val="26B441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055DC"/>
    <w:multiLevelType w:val="hybridMultilevel"/>
    <w:tmpl w:val="245A03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461A1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7D4FA9"/>
    <w:multiLevelType w:val="hybridMultilevel"/>
    <w:tmpl w:val="AA2E22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B2D7A"/>
    <w:multiLevelType w:val="hybridMultilevel"/>
    <w:tmpl w:val="7862A9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240BA"/>
    <w:multiLevelType w:val="hybridMultilevel"/>
    <w:tmpl w:val="9FBC57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F97D9E"/>
    <w:multiLevelType w:val="hybridMultilevel"/>
    <w:tmpl w:val="C35E86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252506"/>
    <w:multiLevelType w:val="hybridMultilevel"/>
    <w:tmpl w:val="2926FA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A3C50"/>
    <w:multiLevelType w:val="hybridMultilevel"/>
    <w:tmpl w:val="20D61E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B40FBB"/>
    <w:multiLevelType w:val="hybridMultilevel"/>
    <w:tmpl w:val="48C40C38"/>
    <w:lvl w:ilvl="0" w:tplc="240A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621ABC"/>
    <w:multiLevelType w:val="hybridMultilevel"/>
    <w:tmpl w:val="8D86C0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9D5362E"/>
    <w:multiLevelType w:val="hybridMultilevel"/>
    <w:tmpl w:val="7C0C47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0B3EB5"/>
    <w:multiLevelType w:val="hybridMultilevel"/>
    <w:tmpl w:val="3A2026F4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3256F"/>
    <w:multiLevelType w:val="hybridMultilevel"/>
    <w:tmpl w:val="D03047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4F540B"/>
    <w:multiLevelType w:val="hybridMultilevel"/>
    <w:tmpl w:val="C4129D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5F47BA"/>
    <w:multiLevelType w:val="hybridMultilevel"/>
    <w:tmpl w:val="F8A6B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2573EE"/>
    <w:multiLevelType w:val="hybridMultilevel"/>
    <w:tmpl w:val="7AA695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31225D"/>
    <w:multiLevelType w:val="hybridMultilevel"/>
    <w:tmpl w:val="081C9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61CC7"/>
    <w:multiLevelType w:val="hybridMultilevel"/>
    <w:tmpl w:val="5A5855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44669F"/>
    <w:multiLevelType w:val="hybridMultilevel"/>
    <w:tmpl w:val="D9E6DA1C"/>
    <w:lvl w:ilvl="0" w:tplc="164470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AC7C61"/>
    <w:multiLevelType w:val="hybridMultilevel"/>
    <w:tmpl w:val="E0F6DA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3F026C"/>
    <w:multiLevelType w:val="multilevel"/>
    <w:tmpl w:val="3634CC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02531E0"/>
    <w:multiLevelType w:val="hybridMultilevel"/>
    <w:tmpl w:val="5428F3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1E2CC6"/>
    <w:multiLevelType w:val="hybridMultilevel"/>
    <w:tmpl w:val="D30869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DA09DC"/>
    <w:multiLevelType w:val="hybridMultilevel"/>
    <w:tmpl w:val="BDF869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667F56"/>
    <w:multiLevelType w:val="hybridMultilevel"/>
    <w:tmpl w:val="9C9235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DE4991"/>
    <w:multiLevelType w:val="hybridMultilevel"/>
    <w:tmpl w:val="14D21D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2D5153"/>
    <w:multiLevelType w:val="hybridMultilevel"/>
    <w:tmpl w:val="6CC8C7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4E17AB"/>
    <w:multiLevelType w:val="hybridMultilevel"/>
    <w:tmpl w:val="5510A0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8C5802"/>
    <w:multiLevelType w:val="hybridMultilevel"/>
    <w:tmpl w:val="047C48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832C03"/>
    <w:multiLevelType w:val="hybridMultilevel"/>
    <w:tmpl w:val="61AC68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875144"/>
    <w:multiLevelType w:val="hybridMultilevel"/>
    <w:tmpl w:val="A81004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B33B57"/>
    <w:multiLevelType w:val="hybridMultilevel"/>
    <w:tmpl w:val="540EF4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798253">
    <w:abstractNumId w:val="11"/>
  </w:num>
  <w:num w:numId="2" w16cid:durableId="51657812">
    <w:abstractNumId w:val="35"/>
  </w:num>
  <w:num w:numId="3" w16cid:durableId="824008738">
    <w:abstractNumId w:val="10"/>
  </w:num>
  <w:num w:numId="4" w16cid:durableId="1609892476">
    <w:abstractNumId w:val="14"/>
    <w:lvlOverride w:ilvl="0">
      <w:startOverride w:val="1"/>
    </w:lvlOverride>
  </w:num>
  <w:num w:numId="5" w16cid:durableId="1549800866">
    <w:abstractNumId w:val="40"/>
    <w:lvlOverride w:ilvl="0">
      <w:startOverride w:val="1"/>
    </w:lvlOverride>
  </w:num>
  <w:num w:numId="6" w16cid:durableId="455830589">
    <w:abstractNumId w:val="2"/>
    <w:lvlOverride w:ilvl="0">
      <w:startOverride w:val="1"/>
    </w:lvlOverride>
  </w:num>
  <w:num w:numId="7" w16cid:durableId="1830517464">
    <w:abstractNumId w:val="39"/>
    <w:lvlOverride w:ilvl="0">
      <w:startOverride w:val="1"/>
    </w:lvlOverride>
  </w:num>
  <w:num w:numId="8" w16cid:durableId="1190215641">
    <w:abstractNumId w:val="5"/>
    <w:lvlOverride w:ilvl="0">
      <w:startOverride w:val="1"/>
    </w:lvlOverride>
  </w:num>
  <w:num w:numId="9" w16cid:durableId="416055210">
    <w:abstractNumId w:val="45"/>
    <w:lvlOverride w:ilvl="0">
      <w:startOverride w:val="1"/>
    </w:lvlOverride>
  </w:num>
  <w:num w:numId="10" w16cid:durableId="792210158">
    <w:abstractNumId w:val="32"/>
    <w:lvlOverride w:ilvl="0">
      <w:startOverride w:val="1"/>
    </w:lvlOverride>
  </w:num>
  <w:num w:numId="11" w16cid:durableId="533690287">
    <w:abstractNumId w:val="8"/>
  </w:num>
  <w:num w:numId="12" w16cid:durableId="2008946832">
    <w:abstractNumId w:val="42"/>
    <w:lvlOverride w:ilvl="0">
      <w:startOverride w:val="1"/>
    </w:lvlOverride>
  </w:num>
  <w:num w:numId="13" w16cid:durableId="2045130187">
    <w:abstractNumId w:val="0"/>
    <w:lvlOverride w:ilvl="0">
      <w:startOverride w:val="1"/>
    </w:lvlOverride>
  </w:num>
  <w:num w:numId="14" w16cid:durableId="2112429098">
    <w:abstractNumId w:val="46"/>
    <w:lvlOverride w:ilvl="0">
      <w:startOverride w:val="1"/>
    </w:lvlOverride>
  </w:num>
  <w:num w:numId="15" w16cid:durableId="1164586319">
    <w:abstractNumId w:val="30"/>
    <w:lvlOverride w:ilvl="0">
      <w:startOverride w:val="1"/>
    </w:lvlOverride>
  </w:num>
  <w:num w:numId="16" w16cid:durableId="1985236746">
    <w:abstractNumId w:val="17"/>
    <w:lvlOverride w:ilvl="0">
      <w:startOverride w:val="1"/>
    </w:lvlOverride>
  </w:num>
  <w:num w:numId="17" w16cid:durableId="1580940135">
    <w:abstractNumId w:val="26"/>
  </w:num>
  <w:num w:numId="18" w16cid:durableId="1135223693">
    <w:abstractNumId w:val="44"/>
    <w:lvlOverride w:ilvl="0">
      <w:startOverride w:val="1"/>
    </w:lvlOverride>
  </w:num>
  <w:num w:numId="19" w16cid:durableId="1546912005">
    <w:abstractNumId w:val="31"/>
    <w:lvlOverride w:ilvl="0">
      <w:startOverride w:val="1"/>
    </w:lvlOverride>
  </w:num>
  <w:num w:numId="20" w16cid:durableId="1565556552">
    <w:abstractNumId w:val="27"/>
    <w:lvlOverride w:ilvl="0">
      <w:startOverride w:val="1"/>
    </w:lvlOverride>
  </w:num>
  <w:num w:numId="21" w16cid:durableId="904490538">
    <w:abstractNumId w:val="15"/>
  </w:num>
  <w:num w:numId="22" w16cid:durableId="750850692">
    <w:abstractNumId w:val="29"/>
  </w:num>
  <w:num w:numId="23" w16cid:durableId="1682899883">
    <w:abstractNumId w:val="36"/>
    <w:lvlOverride w:ilvl="0">
      <w:startOverride w:val="1"/>
    </w:lvlOverride>
  </w:num>
  <w:num w:numId="24" w16cid:durableId="1725906283">
    <w:abstractNumId w:val="22"/>
    <w:lvlOverride w:ilvl="0">
      <w:startOverride w:val="1"/>
    </w:lvlOverride>
  </w:num>
  <w:num w:numId="25" w16cid:durableId="1258175991">
    <w:abstractNumId w:val="13"/>
    <w:lvlOverride w:ilvl="0">
      <w:startOverride w:val="1"/>
    </w:lvlOverride>
  </w:num>
  <w:num w:numId="26" w16cid:durableId="426584327">
    <w:abstractNumId w:val="3"/>
    <w:lvlOverride w:ilvl="0">
      <w:startOverride w:val="1"/>
    </w:lvlOverride>
  </w:num>
  <w:num w:numId="27" w16cid:durableId="839151034">
    <w:abstractNumId w:val="6"/>
  </w:num>
  <w:num w:numId="28" w16cid:durableId="1263876389">
    <w:abstractNumId w:val="21"/>
    <w:lvlOverride w:ilvl="0">
      <w:startOverride w:val="1"/>
    </w:lvlOverride>
  </w:num>
  <w:num w:numId="29" w16cid:durableId="829102903">
    <w:abstractNumId w:val="24"/>
    <w:lvlOverride w:ilvl="0">
      <w:startOverride w:val="1"/>
    </w:lvlOverride>
  </w:num>
  <w:num w:numId="30" w16cid:durableId="132408029">
    <w:abstractNumId w:val="38"/>
    <w:lvlOverride w:ilvl="0">
      <w:startOverride w:val="1"/>
    </w:lvlOverride>
  </w:num>
  <w:num w:numId="31" w16cid:durableId="1066681556">
    <w:abstractNumId w:val="48"/>
    <w:lvlOverride w:ilvl="0">
      <w:startOverride w:val="1"/>
    </w:lvlOverride>
  </w:num>
  <w:num w:numId="32" w16cid:durableId="1745447991">
    <w:abstractNumId w:val="7"/>
    <w:lvlOverride w:ilvl="0">
      <w:startOverride w:val="1"/>
    </w:lvlOverride>
  </w:num>
  <w:num w:numId="33" w16cid:durableId="1695887035">
    <w:abstractNumId w:val="23"/>
    <w:lvlOverride w:ilvl="0">
      <w:startOverride w:val="1"/>
    </w:lvlOverride>
  </w:num>
  <w:num w:numId="34" w16cid:durableId="863980339">
    <w:abstractNumId w:val="34"/>
    <w:lvlOverride w:ilvl="0">
      <w:startOverride w:val="1"/>
    </w:lvlOverride>
  </w:num>
  <w:num w:numId="35" w16cid:durableId="402341615">
    <w:abstractNumId w:val="47"/>
    <w:lvlOverride w:ilvl="0">
      <w:startOverride w:val="1"/>
    </w:lvlOverride>
  </w:num>
  <w:num w:numId="36" w16cid:durableId="2053964513">
    <w:abstractNumId w:val="43"/>
    <w:lvlOverride w:ilvl="0">
      <w:startOverride w:val="1"/>
    </w:lvlOverride>
  </w:num>
  <w:num w:numId="37" w16cid:durableId="1425881545">
    <w:abstractNumId w:val="41"/>
    <w:lvlOverride w:ilvl="0">
      <w:startOverride w:val="1"/>
    </w:lvlOverride>
  </w:num>
  <w:num w:numId="38" w16cid:durableId="1946571692">
    <w:abstractNumId w:val="28"/>
  </w:num>
  <w:num w:numId="39" w16cid:durableId="1397166030">
    <w:abstractNumId w:val="20"/>
  </w:num>
  <w:num w:numId="40" w16cid:durableId="1399205457">
    <w:abstractNumId w:val="37"/>
  </w:num>
  <w:num w:numId="41" w16cid:durableId="1384135107">
    <w:abstractNumId w:val="19"/>
  </w:num>
  <w:num w:numId="42" w16cid:durableId="1524436410">
    <w:abstractNumId w:val="18"/>
  </w:num>
  <w:num w:numId="43" w16cid:durableId="1912079343">
    <w:abstractNumId w:val="12"/>
  </w:num>
  <w:num w:numId="44" w16cid:durableId="80875646">
    <w:abstractNumId w:val="25"/>
  </w:num>
  <w:num w:numId="45" w16cid:durableId="1525511815">
    <w:abstractNumId w:val="9"/>
  </w:num>
  <w:num w:numId="46" w16cid:durableId="1014574674">
    <w:abstractNumId w:val="16"/>
  </w:num>
  <w:num w:numId="47" w16cid:durableId="582837870">
    <w:abstractNumId w:val="1"/>
  </w:num>
  <w:num w:numId="48" w16cid:durableId="308636901">
    <w:abstractNumId w:val="33"/>
  </w:num>
  <w:num w:numId="49" w16cid:durableId="517349004">
    <w:abstractNumId w:val="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1306D"/>
    <w:rsid w:val="000A592A"/>
    <w:rsid w:val="0010218D"/>
    <w:rsid w:val="00106315"/>
    <w:rsid w:val="001D329C"/>
    <w:rsid w:val="00356CF1"/>
    <w:rsid w:val="00377FB7"/>
    <w:rsid w:val="00484DA3"/>
    <w:rsid w:val="00517A40"/>
    <w:rsid w:val="005D3D3B"/>
    <w:rsid w:val="006204C6"/>
    <w:rsid w:val="006D0B16"/>
    <w:rsid w:val="00730C9C"/>
    <w:rsid w:val="007533D7"/>
    <w:rsid w:val="007907A5"/>
    <w:rsid w:val="00870590"/>
    <w:rsid w:val="00996C54"/>
    <w:rsid w:val="00A15D9C"/>
    <w:rsid w:val="00A8221C"/>
    <w:rsid w:val="00A93942"/>
    <w:rsid w:val="00AB32DC"/>
    <w:rsid w:val="00B51D0E"/>
    <w:rsid w:val="00D46BA3"/>
    <w:rsid w:val="00D519A3"/>
    <w:rsid w:val="00DB7DC2"/>
    <w:rsid w:val="00DF01F6"/>
    <w:rsid w:val="00E303D7"/>
    <w:rsid w:val="00ED1309"/>
    <w:rsid w:val="00F45DD3"/>
    <w:rsid w:val="00FA02A3"/>
    <w:rsid w:val="00FA5FFC"/>
    <w:rsid w:val="00FD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2FB2C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uiPriority w:val="39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styleId="Textodeglobo">
    <w:name w:val="Balloon Text"/>
    <w:basedOn w:val="Normal"/>
    <w:link w:val="TextodegloboCar"/>
    <w:uiPriority w:val="99"/>
    <w:semiHidden/>
    <w:unhideWhenUsed/>
    <w:rsid w:val="000A5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592A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rsid w:val="00AB3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9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FC5E2-B542-418D-80E6-099C8B20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1029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9</cp:revision>
  <dcterms:created xsi:type="dcterms:W3CDTF">2016-11-08T22:51:00Z</dcterms:created>
  <dcterms:modified xsi:type="dcterms:W3CDTF">2026-07-30T21:43:00Z</dcterms:modified>
</cp:coreProperties>
</file>